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7456" w14:textId="77777777" w:rsidR="00C02A60" w:rsidRPr="00E3720B" w:rsidRDefault="00C02A60" w:rsidP="00C02A60">
      <w:pPr>
        <w:tabs>
          <w:tab w:val="left" w:pos="709"/>
          <w:tab w:val="left" w:pos="2127"/>
          <w:tab w:val="right" w:leader="dot" w:pos="9072"/>
        </w:tabs>
        <w:ind w:right="-45"/>
        <w:rPr>
          <w:rFonts w:ascii="Arial" w:eastAsia="Times New Roman" w:hAnsi="Arial" w:cs="Arial"/>
          <w:b/>
          <w:noProof/>
          <w:sz w:val="28"/>
          <w:szCs w:val="28"/>
          <w:lang w:val="en-AU" w:eastAsia="en-US"/>
        </w:rPr>
      </w:pPr>
      <w:bookmarkStart w:id="0" w:name="_Toc522785102"/>
      <w:r w:rsidRPr="00E3720B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Asset Management</w:t>
      </w:r>
    </w:p>
    <w:p w14:paraId="3ED6C728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D37A932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B62A2DA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120E6E2C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EA553E4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37903DBA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ab/>
        <w:t>Office of the Chief Executive Officer</w:t>
      </w:r>
    </w:p>
    <w:p w14:paraId="339CD1A0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222C4CA" w14:textId="1E309CB8" w:rsidR="00C02A60" w:rsidRPr="00E3720B" w:rsidRDefault="00C02A60" w:rsidP="00C02A60">
      <w:pPr>
        <w:tabs>
          <w:tab w:val="left" w:pos="709"/>
          <w:tab w:val="left" w:pos="2127"/>
        </w:tabs>
        <w:ind w:left="2127" w:hanging="212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53D15D13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Objective</w:t>
      </w: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This policy </w:t>
      </w:r>
      <w:r w:rsidR="50B53AFC"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establishes 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</w:t>
      </w:r>
      <w:r w:rsidR="00E4701A">
        <w:rPr>
          <w:rFonts w:ascii="Arial" w:eastAsia="Times New Roman" w:hAnsi="Arial" w:cs="Arial"/>
          <w:sz w:val="24"/>
          <w:szCs w:val="24"/>
          <w:lang w:val="en-AU" w:eastAsia="en-US"/>
        </w:rPr>
        <w:t>f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ramework for decision making by Council in undertaking asset management in a structured, </w:t>
      </w:r>
      <w:proofErr w:type="gramStart"/>
      <w:r w:rsidR="02EB2A40" w:rsidRPr="53D15D13">
        <w:rPr>
          <w:rFonts w:ascii="Arial" w:eastAsia="Times New Roman" w:hAnsi="Arial" w:cs="Arial"/>
          <w:sz w:val="24"/>
          <w:szCs w:val="24"/>
          <w:lang w:val="en-AU" w:eastAsia="en-US"/>
        </w:rPr>
        <w:t>organised</w:t>
      </w:r>
      <w:proofErr w:type="gramEnd"/>
      <w:r w:rsidR="02EB2A40"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sustainable manner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</w:p>
    <w:p w14:paraId="2AE42ECF" w14:textId="77777777" w:rsidR="00C02A60" w:rsidRPr="00E3720B" w:rsidRDefault="00C02A60" w:rsidP="00C02A60">
      <w:pPr>
        <w:pBdr>
          <w:bottom w:val="single" w:sz="4" w:space="1" w:color="auto"/>
        </w:pBd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EE4823C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F64F2C3" w14:textId="77777777" w:rsidR="00C02A60" w:rsidRPr="00E3720B" w:rsidRDefault="00C02A60" w:rsidP="00C02A60">
      <w:pPr>
        <w:tabs>
          <w:tab w:val="left" w:pos="709"/>
          <w:tab w:val="left" w:pos="2127"/>
          <w:tab w:val="center" w:pos="4323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0EC2212C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577B97FC" w14:textId="2FD578FD" w:rsidR="00C02A60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B2D01E0">
        <w:rPr>
          <w:rFonts w:ascii="Arial" w:eastAsia="Times New Roman" w:hAnsi="Arial" w:cs="Arial"/>
          <w:sz w:val="24"/>
          <w:szCs w:val="24"/>
          <w:lang w:val="en-AU" w:eastAsia="en-US"/>
        </w:rPr>
        <w:t>As the custodian of the City’s assets</w:t>
      </w:r>
      <w:r w:rsidR="01DB6581" w:rsidRPr="0B2D01E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this policy will </w:t>
      </w:r>
      <w:r w:rsidRPr="0B2D01E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ensure: </w:t>
      </w:r>
    </w:p>
    <w:p w14:paraId="2B8F5BE7" w14:textId="77777777" w:rsidR="001906F9" w:rsidRPr="00E3720B" w:rsidRDefault="001906F9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</w:p>
    <w:p w14:paraId="3B828187" w14:textId="51E952AE" w:rsidR="00C02A60" w:rsidRPr="00E3720B" w:rsidRDefault="00C02A60" w:rsidP="0B2D01E0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all legal obligations are </w:t>
      </w:r>
      <w:proofErr w:type="gramStart"/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>met;</w:t>
      </w:r>
      <w:proofErr w:type="gramEnd"/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</w:p>
    <w:p w14:paraId="18AFEFDD" w14:textId="025A8CC6" w:rsidR="00C02A60" w:rsidRPr="00E3720B" w:rsidRDefault="77B6EE91" w:rsidP="0B2D01E0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B2D01E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Appropriate </w:t>
      </w:r>
      <w:r w:rsidR="00C02A60" w:rsidRPr="0B2D01E0">
        <w:rPr>
          <w:rFonts w:ascii="Arial" w:eastAsia="Times New Roman" w:hAnsi="Arial" w:cs="Arial"/>
          <w:sz w:val="24"/>
          <w:szCs w:val="24"/>
          <w:lang w:val="en-AU" w:eastAsia="en-US"/>
        </w:rPr>
        <w:t>representation of the community as asset owners; and</w:t>
      </w:r>
    </w:p>
    <w:p w14:paraId="3091A044" w14:textId="77777777" w:rsidR="00C02A60" w:rsidRPr="00E3720B" w:rsidRDefault="00C02A60" w:rsidP="00C02A60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Cs/>
          <w:sz w:val="24"/>
          <w:szCs w:val="24"/>
          <w:lang w:val="en-AU" w:eastAsia="en-US"/>
        </w:rPr>
        <w:t>assets are sustainably managed in an equitable manner.</w:t>
      </w:r>
    </w:p>
    <w:p w14:paraId="5DBE2645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2CF0F8A" w14:textId="53560C95" w:rsidR="00C02A60" w:rsidRPr="00E3720B" w:rsidRDefault="00C02A60" w:rsidP="0B2D01E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B2D01E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It is the responsibility of Administration to provide accurate, </w:t>
      </w:r>
      <w:r w:rsidR="62D084A3" w:rsidRPr="0B2D01E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evidence based </w:t>
      </w:r>
      <w:r w:rsidRPr="0B2D01E0">
        <w:rPr>
          <w:rFonts w:ascii="Arial" w:eastAsia="Times New Roman" w:hAnsi="Arial" w:cs="Arial"/>
          <w:sz w:val="24"/>
          <w:szCs w:val="24"/>
          <w:lang w:val="en-AU" w:eastAsia="en-US"/>
        </w:rPr>
        <w:t>technical and professional asset management advice to enable elected members to make informed decisions on behalf of the community they represent.</w:t>
      </w:r>
    </w:p>
    <w:p w14:paraId="3C93FF3E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4B3CCC3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50C30325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</w:p>
    <w:p w14:paraId="645C8605" w14:textId="1914F05E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Asset Management in the City of Nedlands </w:t>
      </w:r>
      <w:r w:rsidR="2A391842"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utilises a combination of contemporary best practice and 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resources </w:t>
      </w:r>
      <w:r w:rsidR="39094509"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to 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>ensur</w:t>
      </w:r>
      <w:r w:rsidR="5E9F48CA" w:rsidRPr="53D15D13">
        <w:rPr>
          <w:rFonts w:ascii="Arial" w:eastAsia="Times New Roman" w:hAnsi="Arial" w:cs="Arial"/>
          <w:sz w:val="24"/>
          <w:szCs w:val="24"/>
          <w:lang w:val="en-AU" w:eastAsia="en-US"/>
        </w:rPr>
        <w:t>e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that the assets under its control are maintained in a safe and functional condition and replaced according to adopted strategies and plans.</w:t>
      </w:r>
    </w:p>
    <w:p w14:paraId="4C8E5704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BAD0F32" w14:textId="232B5F0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Asset Management involves Council, </w:t>
      </w:r>
      <w:r w:rsidR="00E4701A" w:rsidRPr="00E3720B">
        <w:rPr>
          <w:rFonts w:ascii="Arial" w:eastAsia="Times New Roman" w:hAnsi="Arial" w:cs="Arial"/>
          <w:sz w:val="24"/>
          <w:szCs w:val="24"/>
          <w:lang w:val="en-AU" w:eastAsia="en-US"/>
        </w:rPr>
        <w:t>Administration,</w:t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the Community; from those that plan services, provide </w:t>
      </w:r>
      <w:proofErr w:type="gramStart"/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services</w:t>
      </w:r>
      <w:proofErr w:type="gramEnd"/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manage assets and services to those who use the assets. Council will utilise integrated decision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>-</w:t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making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Pr="004B3D2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processes to ensure </w:t>
      </w:r>
      <w:r w:rsidRPr="00603063">
        <w:rPr>
          <w:rFonts w:ascii="Arial" w:eastAsia="Times New Roman" w:hAnsi="Arial" w:cs="Arial"/>
          <w:sz w:val="24"/>
          <w:szCs w:val="24"/>
          <w:lang w:val="en-AU" w:eastAsia="en-US"/>
        </w:rPr>
        <w:t>asset</w:t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provision and maintenance are properly considered throughout the asset management lifecycle.</w:t>
      </w:r>
    </w:p>
    <w:p w14:paraId="092CA35F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0841B74" w14:textId="11782D6E" w:rsidR="00C02A60" w:rsidRPr="00E3720B" w:rsidRDefault="2CC3CE5B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13AE261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primary goal of asset management is to provide the required level of service in the most cost-effective way through the creation, acquisition, maintenance, operation, </w:t>
      </w:r>
      <w:proofErr w:type="gramStart"/>
      <w:r w:rsidRPr="13AE2617">
        <w:rPr>
          <w:rFonts w:ascii="Arial" w:eastAsia="Times New Roman" w:hAnsi="Arial" w:cs="Arial"/>
          <w:sz w:val="24"/>
          <w:szCs w:val="24"/>
          <w:lang w:val="en-AU" w:eastAsia="en-US"/>
        </w:rPr>
        <w:t>rehabilitation</w:t>
      </w:r>
      <w:proofErr w:type="gramEnd"/>
      <w:r w:rsidRPr="13AE261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disposal of assets </w:t>
      </w:r>
      <w:r w:rsidR="31CDE1A8" w:rsidRPr="13AE261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for the </w:t>
      </w:r>
      <w:r w:rsidRPr="13AE2617">
        <w:rPr>
          <w:rFonts w:ascii="Arial" w:eastAsia="Times New Roman" w:hAnsi="Arial" w:cs="Arial"/>
          <w:sz w:val="24"/>
          <w:szCs w:val="24"/>
          <w:lang w:val="en-AU" w:eastAsia="en-US"/>
        </w:rPr>
        <w:t>r present and future generations.</w:t>
      </w:r>
    </w:p>
    <w:p w14:paraId="371DDD80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FC73F5C" w14:textId="2A1EE335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Asset management is a key objective in the City’s ten (10) year Strategic Community Plan and Strategic Plan and shall be incorporated into long term financial</w:t>
      </w:r>
      <w:r w:rsidRPr="00603063">
        <w:rPr>
          <w:rFonts w:ascii="Arial" w:eastAsia="Times New Roman" w:hAnsi="Arial" w:cs="Arial"/>
          <w:strike/>
          <w:sz w:val="24"/>
          <w:szCs w:val="24"/>
          <w:lang w:val="en-AU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>m</w:t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anagement plan. The City’s strategic financial plan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will ensure that:</w:t>
      </w:r>
    </w:p>
    <w:p w14:paraId="69D66750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1465F6C" w14:textId="1043EE2D" w:rsidR="00C02A60" w:rsidRPr="00E3720B" w:rsidRDefault="2CC3CE5B" w:rsidP="00C02A60">
      <w:pPr>
        <w:numPr>
          <w:ilvl w:val="0"/>
          <w:numId w:val="30"/>
        </w:numPr>
        <w:tabs>
          <w:tab w:val="left" w:pos="709"/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426978AC">
        <w:rPr>
          <w:rFonts w:ascii="Arial" w:eastAsia="Times New Roman" w:hAnsi="Arial" w:cs="Arial"/>
          <w:sz w:val="24"/>
          <w:szCs w:val="24"/>
          <w:lang w:val="en-AU" w:eastAsia="en-US"/>
        </w:rPr>
        <w:t xml:space="preserve">Sufficient funds are allocated as a priority each year </w:t>
      </w:r>
      <w:r w:rsidR="4F1A6C39" w:rsidRPr="426978AC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to </w:t>
      </w:r>
      <w:r w:rsidRPr="426978AC">
        <w:rPr>
          <w:rFonts w:ascii="Arial" w:eastAsia="Times New Roman" w:hAnsi="Arial" w:cs="Arial"/>
          <w:sz w:val="24"/>
          <w:szCs w:val="24"/>
          <w:lang w:val="en-AU" w:eastAsia="en-US"/>
        </w:rPr>
        <w:t>operat</w:t>
      </w:r>
      <w:r w:rsidR="58E1142C" w:rsidRPr="426978AC">
        <w:rPr>
          <w:rFonts w:ascii="Arial" w:eastAsia="Times New Roman" w:hAnsi="Arial" w:cs="Arial"/>
          <w:sz w:val="24"/>
          <w:szCs w:val="24"/>
          <w:lang w:val="en-AU" w:eastAsia="en-US"/>
        </w:rPr>
        <w:t>e</w:t>
      </w:r>
      <w:r w:rsidRPr="426978AC">
        <w:rPr>
          <w:rFonts w:ascii="Arial" w:eastAsia="Times New Roman" w:hAnsi="Arial" w:cs="Arial"/>
          <w:sz w:val="24"/>
          <w:szCs w:val="24"/>
          <w:lang w:val="en-AU" w:eastAsia="en-US"/>
        </w:rPr>
        <w:t>, maint</w:t>
      </w:r>
      <w:r w:rsidR="4220CEAA" w:rsidRPr="426978AC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ain </w:t>
      </w:r>
      <w:r w:rsidRPr="426978AC">
        <w:rPr>
          <w:rFonts w:ascii="Arial" w:eastAsia="Times New Roman" w:hAnsi="Arial" w:cs="Arial"/>
          <w:sz w:val="24"/>
          <w:szCs w:val="24"/>
          <w:lang w:val="en-AU" w:eastAsia="en-US"/>
        </w:rPr>
        <w:t>and</w:t>
      </w:r>
      <w:r w:rsidR="5A98C204" w:rsidRPr="426978AC">
        <w:rPr>
          <w:rFonts w:ascii="Arial" w:eastAsia="Times New Roman" w:hAnsi="Arial" w:cs="Arial"/>
          <w:sz w:val="24"/>
          <w:szCs w:val="24"/>
          <w:lang w:val="en-AU" w:eastAsia="en-US"/>
        </w:rPr>
        <w:t xml:space="preserve">, </w:t>
      </w:r>
      <w:r w:rsidRPr="426978AC">
        <w:rPr>
          <w:rFonts w:ascii="Arial" w:eastAsia="Times New Roman" w:hAnsi="Arial" w:cs="Arial"/>
          <w:sz w:val="24"/>
          <w:szCs w:val="24"/>
          <w:lang w:val="en-AU" w:eastAsia="en-US"/>
        </w:rPr>
        <w:t>refurbishment or replacement of existing assets</w:t>
      </w:r>
      <w:r w:rsidR="70D2055E" w:rsidRPr="426978AC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throughout their lifecycle</w:t>
      </w:r>
      <w:r w:rsidRPr="426978AC">
        <w:rPr>
          <w:rFonts w:ascii="Arial" w:eastAsia="Times New Roman" w:hAnsi="Arial" w:cs="Arial"/>
          <w:sz w:val="24"/>
          <w:szCs w:val="24"/>
          <w:lang w:val="en-AU" w:eastAsia="en-US"/>
        </w:rPr>
        <w:t>; and</w:t>
      </w:r>
    </w:p>
    <w:p w14:paraId="63C799A2" w14:textId="6F0AE976" w:rsidR="00C02A60" w:rsidRPr="00E3720B" w:rsidRDefault="53F18C90" w:rsidP="00C02A60">
      <w:pPr>
        <w:numPr>
          <w:ilvl w:val="0"/>
          <w:numId w:val="30"/>
        </w:numPr>
        <w:tabs>
          <w:tab w:val="left" w:pos="709"/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lastRenderedPageBreak/>
        <w:t xml:space="preserve">Ensure funds are </w:t>
      </w:r>
      <w:r w:rsidR="00C02A60" w:rsidRPr="36E1F0D4">
        <w:rPr>
          <w:rFonts w:ascii="Arial" w:eastAsia="Times New Roman" w:hAnsi="Arial" w:cs="Arial"/>
          <w:sz w:val="24"/>
          <w:szCs w:val="24"/>
          <w:lang w:val="en-AU" w:eastAsia="en-US"/>
        </w:rPr>
        <w:t>identified and allocated where appropriate for the investment in new or upgraded assets.</w:t>
      </w:r>
    </w:p>
    <w:p w14:paraId="7B5DCF2A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8E16D00" w14:textId="7C8DB020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Long term financial models will be prepared </w:t>
      </w:r>
      <w:r w:rsidR="0918847D" w:rsidRPr="36E1F0D4">
        <w:rPr>
          <w:rFonts w:ascii="Arial" w:eastAsia="Times New Roman" w:hAnsi="Arial" w:cs="Arial"/>
          <w:sz w:val="24"/>
          <w:szCs w:val="24"/>
          <w:lang w:val="en-AU" w:eastAsia="en-US"/>
        </w:rPr>
        <w:t>that</w:t>
      </w:r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identify the whole of life costs for all City assets. Where appropriate this should include performance modelling of assets based on different funding scenarios.</w:t>
      </w:r>
    </w:p>
    <w:p w14:paraId="5B1F84D2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33754BD" w14:textId="1F0E242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Investments in new </w:t>
      </w:r>
      <w:r w:rsidR="282B153F" w:rsidRPr="36E1F0D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asset </w:t>
      </w:r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creation shall consider whole of life costs of the asset assessing benefit/cost ratios, net present </w:t>
      </w:r>
      <w:proofErr w:type="gramStart"/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t>value</w:t>
      </w:r>
      <w:proofErr w:type="gramEnd"/>
      <w:r w:rsidRPr="36E1F0D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the environmental and social benefits of investment.</w:t>
      </w:r>
    </w:p>
    <w:p w14:paraId="5CBAB871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242A278" w14:textId="4E312453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This policy shall be read in conjunction with the ten (10) year Strategic Community Plan, </w:t>
      </w:r>
      <w:proofErr w:type="gramStart"/>
      <w:r w:rsidR="6FD9402C" w:rsidRPr="53D15D13">
        <w:rPr>
          <w:rFonts w:ascii="Arial" w:eastAsia="Times New Roman" w:hAnsi="Arial" w:cs="Arial"/>
          <w:sz w:val="24"/>
          <w:szCs w:val="24"/>
          <w:lang w:val="en-AU" w:eastAsia="en-US"/>
        </w:rPr>
        <w:t>F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>our</w:t>
      </w:r>
      <w:proofErr w:type="gramEnd"/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(4) year Corporate Business Plan</w:t>
      </w:r>
      <w:r w:rsidR="1DE8816C"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, Long Term Financial Plan </w:t>
      </w: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>and various strategic documents including but not limited to:</w:t>
      </w:r>
    </w:p>
    <w:p w14:paraId="515F79C9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6CFE398" w14:textId="77777777" w:rsidR="00C02A60" w:rsidRPr="00E3720B" w:rsidRDefault="00C02A60" w:rsidP="00C02A60">
      <w:pPr>
        <w:numPr>
          <w:ilvl w:val="0"/>
          <w:numId w:val="31"/>
        </w:numPr>
        <w:tabs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Asset Management </w:t>
      </w:r>
      <w:proofErr w:type="gramStart"/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Strategy;</w:t>
      </w:r>
      <w:proofErr w:type="gramEnd"/>
    </w:p>
    <w:p w14:paraId="005B2B52" w14:textId="77777777" w:rsidR="00C02A60" w:rsidRPr="00E3720B" w:rsidRDefault="00C02A60" w:rsidP="00C02A60">
      <w:pPr>
        <w:numPr>
          <w:ilvl w:val="0"/>
          <w:numId w:val="31"/>
        </w:numPr>
        <w:tabs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Asset Management </w:t>
      </w:r>
      <w:proofErr w:type="gramStart"/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Plans;</w:t>
      </w:r>
      <w:proofErr w:type="gramEnd"/>
    </w:p>
    <w:p w14:paraId="449987E2" w14:textId="790FC1E2" w:rsidR="00C02A60" w:rsidRPr="00E3720B" w:rsidRDefault="7A956958" w:rsidP="00C02A60">
      <w:pPr>
        <w:numPr>
          <w:ilvl w:val="0"/>
          <w:numId w:val="31"/>
        </w:numPr>
        <w:tabs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53D15D13">
        <w:rPr>
          <w:rFonts w:ascii="Arial" w:eastAsia="Times New Roman" w:hAnsi="Arial" w:cs="Arial"/>
          <w:sz w:val="24"/>
          <w:szCs w:val="24"/>
          <w:lang w:val="en-AU" w:eastAsia="en-US"/>
        </w:rPr>
        <w:t>Long Term Financial</w:t>
      </w:r>
      <w:r w:rsidR="00C02A60" w:rsidRPr="53D15D1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Plan; and</w:t>
      </w:r>
    </w:p>
    <w:p w14:paraId="50FED18D" w14:textId="77777777" w:rsidR="00C02A60" w:rsidRPr="00E3720B" w:rsidRDefault="00C02A60" w:rsidP="00C02A60">
      <w:pPr>
        <w:numPr>
          <w:ilvl w:val="0"/>
          <w:numId w:val="31"/>
        </w:numPr>
        <w:tabs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Disability Access and Inclusion Plan.</w:t>
      </w:r>
    </w:p>
    <w:p w14:paraId="5AB9FE64" w14:textId="77777777" w:rsidR="00C02A60" w:rsidRPr="00E3720B" w:rsidRDefault="00C02A60" w:rsidP="00C02A60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C6118F2" w14:textId="77777777" w:rsidR="00C02A60" w:rsidRPr="00E3720B" w:rsidRDefault="00C02A60" w:rsidP="00C02A60">
      <w:pPr>
        <w:ind w:left="720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</w:p>
    <w:p w14:paraId="2406D4DB" w14:textId="77777777" w:rsidR="00C02A60" w:rsidRPr="00E3720B" w:rsidRDefault="00C02A60" w:rsidP="00C02A60">
      <w:pPr>
        <w:pBdr>
          <w:top w:val="single" w:sz="4" w:space="1" w:color="auto"/>
        </w:pBd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3520A057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documentation</w:t>
      </w:r>
    </w:p>
    <w:p w14:paraId="3FB3E7B9" w14:textId="77777777" w:rsidR="00C02A60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3CD6DEF" w14:textId="77777777" w:rsidR="00C02A60" w:rsidRPr="00E4701A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E4701A">
        <w:rPr>
          <w:rFonts w:ascii="Arial" w:eastAsia="Times New Roman" w:hAnsi="Arial" w:cs="Arial"/>
          <w:bCs/>
          <w:sz w:val="24"/>
          <w:szCs w:val="24"/>
          <w:lang w:val="en-AU" w:eastAsia="en-US"/>
        </w:rPr>
        <w:t>Nil</w:t>
      </w:r>
    </w:p>
    <w:p w14:paraId="2AFF5FD7" w14:textId="77777777" w:rsidR="00C02A60" w:rsidRPr="00E3720B" w:rsidRDefault="00C02A60" w:rsidP="00C02A60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20C71E1" w14:textId="77777777" w:rsidR="00C02A60" w:rsidRPr="00E3720B" w:rsidRDefault="00C02A60" w:rsidP="00C02A60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Local Law / Legislation</w:t>
      </w:r>
    </w:p>
    <w:p w14:paraId="5279961C" w14:textId="77777777" w:rsidR="00C02A60" w:rsidRPr="00E3720B" w:rsidRDefault="00C02A60" w:rsidP="00C02A60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D80940E" w14:textId="77777777" w:rsidR="00C02A60" w:rsidRPr="00E3720B" w:rsidRDefault="00C02A60" w:rsidP="00C02A60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Local Government Act 1995</w:t>
      </w:r>
    </w:p>
    <w:p w14:paraId="68BC956E" w14:textId="77777777" w:rsidR="00C02A60" w:rsidRPr="00E3720B" w:rsidRDefault="00C02A60" w:rsidP="00C02A60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5BD8D95" w14:textId="77777777" w:rsidR="00C02A60" w:rsidRPr="00E3720B" w:rsidRDefault="00C02A60" w:rsidP="00C02A60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delegation</w:t>
      </w:r>
    </w:p>
    <w:p w14:paraId="73ED40D4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FDCEB97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Cs/>
          <w:sz w:val="24"/>
          <w:szCs w:val="24"/>
          <w:lang w:val="en-AU" w:eastAsia="en-US"/>
        </w:rPr>
        <w:t>Nil</w:t>
      </w:r>
    </w:p>
    <w:p w14:paraId="0946F353" w14:textId="77777777" w:rsidR="00C02A60" w:rsidRPr="00E3720B" w:rsidRDefault="00C02A60" w:rsidP="00C02A60">
      <w:pPr>
        <w:pBdr>
          <w:bottom w:val="single" w:sz="4" w:space="1" w:color="auto"/>
        </w:pBd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1F1672F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5103A1C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7A921B50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C2062B2" w14:textId="35C5662A" w:rsidR="00E4701A" w:rsidRDefault="00E4701A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23 February 2021 (CEO Report Item 13.1)</w:t>
      </w:r>
    </w:p>
    <w:p w14:paraId="522EC66B" w14:textId="3361DB21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28 July 2015 (Report CPS18.15)</w:t>
      </w:r>
    </w:p>
    <w:p w14:paraId="677EE889" w14:textId="77777777" w:rsidR="00C02A60" w:rsidRPr="00E3720B" w:rsidRDefault="00C02A60" w:rsidP="00C02A60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27 November 2012 (Report CPS48.12)</w:t>
      </w:r>
    </w:p>
    <w:p w14:paraId="47173E9C" w14:textId="3A8EE32D" w:rsidR="0026722F" w:rsidRPr="00FE7DCB" w:rsidRDefault="00C02A60" w:rsidP="00FE7DCB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3720B">
        <w:rPr>
          <w:rFonts w:ascii="Arial" w:eastAsia="Times New Roman" w:hAnsi="Arial" w:cs="Arial"/>
          <w:sz w:val="24"/>
          <w:szCs w:val="24"/>
          <w:lang w:val="en-AU" w:eastAsia="en-US"/>
        </w:rPr>
        <w:t>22 June 2010 (Report D34.10)</w:t>
      </w:r>
      <w:bookmarkEnd w:id="0"/>
    </w:p>
    <w:sectPr w:rsidR="0026722F" w:rsidRPr="00FE7DCB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8A03E" w14:textId="77777777" w:rsidR="00081B3A" w:rsidRDefault="00081B3A" w:rsidP="00A972E3">
      <w:r>
        <w:separator/>
      </w:r>
    </w:p>
  </w:endnote>
  <w:endnote w:type="continuationSeparator" w:id="0">
    <w:p w14:paraId="4DE0F0DB" w14:textId="77777777" w:rsidR="00081B3A" w:rsidRDefault="00081B3A" w:rsidP="00A972E3">
      <w:r>
        <w:continuationSeparator/>
      </w:r>
    </w:p>
  </w:endnote>
  <w:endnote w:type="continuationNotice" w:id="1">
    <w:p w14:paraId="0C42E2CE" w14:textId="77777777" w:rsidR="00081B3A" w:rsidRDefault="00081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0D48BA" w:rsidRDefault="000D48BA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050C" w14:textId="77777777" w:rsidR="00081B3A" w:rsidRDefault="00081B3A" w:rsidP="00A972E3">
      <w:r>
        <w:separator/>
      </w:r>
    </w:p>
  </w:footnote>
  <w:footnote w:type="continuationSeparator" w:id="0">
    <w:p w14:paraId="2A2F942D" w14:textId="77777777" w:rsidR="00081B3A" w:rsidRDefault="00081B3A" w:rsidP="00A972E3">
      <w:r>
        <w:continuationSeparator/>
      </w:r>
    </w:p>
  </w:footnote>
  <w:footnote w:type="continuationNotice" w:id="1">
    <w:p w14:paraId="024532F0" w14:textId="77777777" w:rsidR="00081B3A" w:rsidRDefault="00081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7F92BB67" w:rsidR="000D48BA" w:rsidRDefault="000D48BA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73EA4" wp14:editId="58C458E2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381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0D48BA" w:rsidRDefault="000D48BA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 stroked="f">
              <v:fill opacity="0"/>
              <v:textbox style="mso-fit-shape-to-text:t">
                <w:txbxContent>
                  <w:p w14:paraId="47173EA7" w14:textId="77777777" w:rsidR="000D48BA" w:rsidRDefault="000D48BA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0D48BA" w:rsidRPr="00A972E3" w:rsidRDefault="000D48BA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F3D6C"/>
    <w:multiLevelType w:val="hybridMultilevel"/>
    <w:tmpl w:val="1488F390"/>
    <w:lvl w:ilvl="0" w:tplc="347E48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F5E8B"/>
    <w:multiLevelType w:val="hybridMultilevel"/>
    <w:tmpl w:val="93AC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F4F"/>
    <w:multiLevelType w:val="hybridMultilevel"/>
    <w:tmpl w:val="41E8D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6CF5"/>
    <w:multiLevelType w:val="hybridMultilevel"/>
    <w:tmpl w:val="7B9A3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43687"/>
    <w:multiLevelType w:val="hybridMultilevel"/>
    <w:tmpl w:val="A81E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698"/>
    <w:multiLevelType w:val="hybridMultilevel"/>
    <w:tmpl w:val="6D26C910"/>
    <w:lvl w:ilvl="0" w:tplc="1DEC6092">
      <w:start w:val="1"/>
      <w:numFmt w:val="bullet"/>
      <w:lvlText w:val=""/>
      <w:lvlJc w:val="left"/>
      <w:pPr>
        <w:ind w:left="1364" w:hanging="425"/>
      </w:pPr>
      <w:rPr>
        <w:rFonts w:ascii="Symbol" w:eastAsia="Symbol" w:hAnsi="Symbol" w:hint="default"/>
        <w:sz w:val="24"/>
        <w:szCs w:val="24"/>
      </w:rPr>
    </w:lvl>
    <w:lvl w:ilvl="1" w:tplc="3F1A374A">
      <w:start w:val="1"/>
      <w:numFmt w:val="bullet"/>
      <w:lvlText w:val="o"/>
      <w:lvlJc w:val="left"/>
      <w:pPr>
        <w:ind w:left="1792" w:hanging="425"/>
      </w:pPr>
      <w:rPr>
        <w:rFonts w:ascii="Courier New" w:eastAsia="Courier New" w:hAnsi="Courier New" w:hint="default"/>
        <w:sz w:val="24"/>
        <w:szCs w:val="24"/>
      </w:rPr>
    </w:lvl>
    <w:lvl w:ilvl="2" w:tplc="6A02439E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3" w:tplc="6026F35C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1AC2C74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5" w:tplc="D9C4CA92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 w:tplc="E79A8E56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FC8C2492">
      <w:start w:val="1"/>
      <w:numFmt w:val="bullet"/>
      <w:lvlText w:val="•"/>
      <w:lvlJc w:val="left"/>
      <w:pPr>
        <w:ind w:left="7080" w:hanging="425"/>
      </w:pPr>
      <w:rPr>
        <w:rFonts w:hint="default"/>
      </w:rPr>
    </w:lvl>
    <w:lvl w:ilvl="8" w:tplc="7792BB2C">
      <w:start w:val="1"/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6" w15:restartNumberingAfterBreak="0">
    <w:nsid w:val="1D1F7334"/>
    <w:multiLevelType w:val="hybridMultilevel"/>
    <w:tmpl w:val="CBECB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2FE1"/>
    <w:multiLevelType w:val="hybridMultilevel"/>
    <w:tmpl w:val="E8161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9CA"/>
    <w:multiLevelType w:val="hybridMultilevel"/>
    <w:tmpl w:val="59CA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7BDF"/>
    <w:multiLevelType w:val="hybridMultilevel"/>
    <w:tmpl w:val="E760D44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28E46D39"/>
    <w:multiLevelType w:val="hybridMultilevel"/>
    <w:tmpl w:val="FDE62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876FF"/>
    <w:multiLevelType w:val="hybridMultilevel"/>
    <w:tmpl w:val="EC32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4695"/>
    <w:multiLevelType w:val="hybridMultilevel"/>
    <w:tmpl w:val="2590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9D0"/>
    <w:multiLevelType w:val="hybridMultilevel"/>
    <w:tmpl w:val="0F908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7ADF"/>
    <w:multiLevelType w:val="hybridMultilevel"/>
    <w:tmpl w:val="69AA3F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5185D7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13854"/>
    <w:multiLevelType w:val="hybridMultilevel"/>
    <w:tmpl w:val="633C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2417"/>
    <w:multiLevelType w:val="hybridMultilevel"/>
    <w:tmpl w:val="6E02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7876"/>
    <w:multiLevelType w:val="hybridMultilevel"/>
    <w:tmpl w:val="4F388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411CF"/>
    <w:multiLevelType w:val="hybridMultilevel"/>
    <w:tmpl w:val="BB4E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4E59"/>
    <w:multiLevelType w:val="hybridMultilevel"/>
    <w:tmpl w:val="D3CA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10224"/>
    <w:multiLevelType w:val="hybridMultilevel"/>
    <w:tmpl w:val="AE2E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97BB5"/>
    <w:multiLevelType w:val="hybridMultilevel"/>
    <w:tmpl w:val="5B38C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24AA8"/>
    <w:multiLevelType w:val="hybridMultilevel"/>
    <w:tmpl w:val="5C50E45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E81786"/>
    <w:multiLevelType w:val="hybridMultilevel"/>
    <w:tmpl w:val="5696145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5185D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7F05"/>
    <w:multiLevelType w:val="hybridMultilevel"/>
    <w:tmpl w:val="E7A8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C2B86"/>
    <w:multiLevelType w:val="hybridMultilevel"/>
    <w:tmpl w:val="2D42B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4C34F9"/>
    <w:multiLevelType w:val="hybridMultilevel"/>
    <w:tmpl w:val="E3A0F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3910E1"/>
    <w:multiLevelType w:val="hybridMultilevel"/>
    <w:tmpl w:val="5066CB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73F6"/>
    <w:multiLevelType w:val="hybridMultilevel"/>
    <w:tmpl w:val="FF5E4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83624"/>
    <w:multiLevelType w:val="hybridMultilevel"/>
    <w:tmpl w:val="79C27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3145"/>
    <w:multiLevelType w:val="hybridMultilevel"/>
    <w:tmpl w:val="E5C2E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A55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06062"/>
    <w:multiLevelType w:val="hybridMultilevel"/>
    <w:tmpl w:val="2338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A02AB"/>
    <w:multiLevelType w:val="hybridMultilevel"/>
    <w:tmpl w:val="639A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B25D2"/>
    <w:multiLevelType w:val="hybridMultilevel"/>
    <w:tmpl w:val="372A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26"/>
  </w:num>
  <w:num w:numId="5">
    <w:abstractNumId w:val="2"/>
  </w:num>
  <w:num w:numId="6">
    <w:abstractNumId w:val="22"/>
  </w:num>
  <w:num w:numId="7">
    <w:abstractNumId w:val="31"/>
  </w:num>
  <w:num w:numId="8">
    <w:abstractNumId w:val="20"/>
  </w:num>
  <w:num w:numId="9">
    <w:abstractNumId w:val="10"/>
  </w:num>
  <w:num w:numId="10">
    <w:abstractNumId w:val="1"/>
  </w:num>
  <w:num w:numId="11">
    <w:abstractNumId w:val="18"/>
  </w:num>
  <w:num w:numId="12">
    <w:abstractNumId w:val="12"/>
  </w:num>
  <w:num w:numId="13">
    <w:abstractNumId w:val="32"/>
  </w:num>
  <w:num w:numId="14">
    <w:abstractNumId w:val="3"/>
  </w:num>
  <w:num w:numId="15">
    <w:abstractNumId w:val="24"/>
  </w:num>
  <w:num w:numId="16">
    <w:abstractNumId w:val="6"/>
  </w:num>
  <w:num w:numId="17">
    <w:abstractNumId w:val="8"/>
  </w:num>
  <w:num w:numId="18">
    <w:abstractNumId w:val="15"/>
  </w:num>
  <w:num w:numId="19">
    <w:abstractNumId w:val="4"/>
  </w:num>
  <w:num w:numId="20">
    <w:abstractNumId w:val="11"/>
  </w:num>
  <w:num w:numId="21">
    <w:abstractNumId w:val="21"/>
  </w:num>
  <w:num w:numId="22">
    <w:abstractNumId w:val="17"/>
  </w:num>
  <w:num w:numId="23">
    <w:abstractNumId w:val="29"/>
  </w:num>
  <w:num w:numId="24">
    <w:abstractNumId w:val="27"/>
  </w:num>
  <w:num w:numId="25">
    <w:abstractNumId w:val="33"/>
  </w:num>
  <w:num w:numId="26">
    <w:abstractNumId w:val="13"/>
  </w:num>
  <w:num w:numId="27">
    <w:abstractNumId w:val="30"/>
  </w:num>
  <w:num w:numId="28">
    <w:abstractNumId w:val="16"/>
  </w:num>
  <w:num w:numId="29">
    <w:abstractNumId w:val="28"/>
  </w:num>
  <w:num w:numId="30">
    <w:abstractNumId w:val="7"/>
  </w:num>
  <w:num w:numId="31">
    <w:abstractNumId w:val="19"/>
  </w:num>
  <w:num w:numId="32">
    <w:abstractNumId w:val="14"/>
  </w:num>
  <w:num w:numId="33">
    <w:abstractNumId w:va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07BA7"/>
    <w:rsid w:val="000250AF"/>
    <w:rsid w:val="00032B15"/>
    <w:rsid w:val="00035A5F"/>
    <w:rsid w:val="00045B7B"/>
    <w:rsid w:val="000511D6"/>
    <w:rsid w:val="000522A9"/>
    <w:rsid w:val="00062C50"/>
    <w:rsid w:val="00081B3A"/>
    <w:rsid w:val="00090C3F"/>
    <w:rsid w:val="00095CDD"/>
    <w:rsid w:val="00096966"/>
    <w:rsid w:val="000A38D6"/>
    <w:rsid w:val="000A5D20"/>
    <w:rsid w:val="000C0C03"/>
    <w:rsid w:val="000D48BA"/>
    <w:rsid w:val="000F20D6"/>
    <w:rsid w:val="00103EA3"/>
    <w:rsid w:val="00105775"/>
    <w:rsid w:val="0011693B"/>
    <w:rsid w:val="00122DD5"/>
    <w:rsid w:val="001241FC"/>
    <w:rsid w:val="00133989"/>
    <w:rsid w:val="001573D9"/>
    <w:rsid w:val="00167F63"/>
    <w:rsid w:val="001906F9"/>
    <w:rsid w:val="00196477"/>
    <w:rsid w:val="001B47BF"/>
    <w:rsid w:val="001C2547"/>
    <w:rsid w:val="001D239A"/>
    <w:rsid w:val="001E10ED"/>
    <w:rsid w:val="001E2798"/>
    <w:rsid w:val="001F388F"/>
    <w:rsid w:val="0020108E"/>
    <w:rsid w:val="0026376D"/>
    <w:rsid w:val="0026722F"/>
    <w:rsid w:val="00267456"/>
    <w:rsid w:val="00295B95"/>
    <w:rsid w:val="002E3034"/>
    <w:rsid w:val="002E7900"/>
    <w:rsid w:val="0031502F"/>
    <w:rsid w:val="00390B7F"/>
    <w:rsid w:val="00393703"/>
    <w:rsid w:val="003B44D9"/>
    <w:rsid w:val="003F47D3"/>
    <w:rsid w:val="003F71CE"/>
    <w:rsid w:val="00400409"/>
    <w:rsid w:val="004006CA"/>
    <w:rsid w:val="00407036"/>
    <w:rsid w:val="00413BB9"/>
    <w:rsid w:val="004258CE"/>
    <w:rsid w:val="0048224A"/>
    <w:rsid w:val="004D7C9F"/>
    <w:rsid w:val="004E52C5"/>
    <w:rsid w:val="00532797"/>
    <w:rsid w:val="00533C74"/>
    <w:rsid w:val="005B49DD"/>
    <w:rsid w:val="005C68EB"/>
    <w:rsid w:val="005C6F8C"/>
    <w:rsid w:val="005D771B"/>
    <w:rsid w:val="00602B01"/>
    <w:rsid w:val="00615504"/>
    <w:rsid w:val="00621163"/>
    <w:rsid w:val="006237B7"/>
    <w:rsid w:val="00627988"/>
    <w:rsid w:val="006548BC"/>
    <w:rsid w:val="00672C53"/>
    <w:rsid w:val="00676198"/>
    <w:rsid w:val="00680A4D"/>
    <w:rsid w:val="00681866"/>
    <w:rsid w:val="006A2D45"/>
    <w:rsid w:val="006B3967"/>
    <w:rsid w:val="006D654A"/>
    <w:rsid w:val="006E7B9F"/>
    <w:rsid w:val="006F2D64"/>
    <w:rsid w:val="006F4723"/>
    <w:rsid w:val="006F4C90"/>
    <w:rsid w:val="006F7E04"/>
    <w:rsid w:val="00713B66"/>
    <w:rsid w:val="00722757"/>
    <w:rsid w:val="00742A39"/>
    <w:rsid w:val="007937F9"/>
    <w:rsid w:val="007A70A2"/>
    <w:rsid w:val="007D5743"/>
    <w:rsid w:val="007E4678"/>
    <w:rsid w:val="007F2FDD"/>
    <w:rsid w:val="007F35A5"/>
    <w:rsid w:val="007F55E3"/>
    <w:rsid w:val="00822EF9"/>
    <w:rsid w:val="00824870"/>
    <w:rsid w:val="008270D5"/>
    <w:rsid w:val="0084606B"/>
    <w:rsid w:val="0086489B"/>
    <w:rsid w:val="00870702"/>
    <w:rsid w:val="008853A7"/>
    <w:rsid w:val="00894CB8"/>
    <w:rsid w:val="008A6587"/>
    <w:rsid w:val="008B35B3"/>
    <w:rsid w:val="008B4BAF"/>
    <w:rsid w:val="008D46BC"/>
    <w:rsid w:val="008F3D3E"/>
    <w:rsid w:val="0093701C"/>
    <w:rsid w:val="0094691A"/>
    <w:rsid w:val="00946CA1"/>
    <w:rsid w:val="009639FA"/>
    <w:rsid w:val="00964CAD"/>
    <w:rsid w:val="00964F8F"/>
    <w:rsid w:val="009A4158"/>
    <w:rsid w:val="009C0B09"/>
    <w:rsid w:val="009C6496"/>
    <w:rsid w:val="009C6917"/>
    <w:rsid w:val="009D5691"/>
    <w:rsid w:val="009D56B0"/>
    <w:rsid w:val="009F2659"/>
    <w:rsid w:val="009F3A32"/>
    <w:rsid w:val="00A02D35"/>
    <w:rsid w:val="00A05061"/>
    <w:rsid w:val="00A131E0"/>
    <w:rsid w:val="00A1650B"/>
    <w:rsid w:val="00A51B28"/>
    <w:rsid w:val="00A715FA"/>
    <w:rsid w:val="00A87DA7"/>
    <w:rsid w:val="00A951DA"/>
    <w:rsid w:val="00A96C63"/>
    <w:rsid w:val="00A972E3"/>
    <w:rsid w:val="00AA2789"/>
    <w:rsid w:val="00AB6CE8"/>
    <w:rsid w:val="00AC781D"/>
    <w:rsid w:val="00AD6A6A"/>
    <w:rsid w:val="00AE48B4"/>
    <w:rsid w:val="00AF4B62"/>
    <w:rsid w:val="00B15413"/>
    <w:rsid w:val="00B3270E"/>
    <w:rsid w:val="00B41FD5"/>
    <w:rsid w:val="00B54EDC"/>
    <w:rsid w:val="00B64081"/>
    <w:rsid w:val="00B73DCC"/>
    <w:rsid w:val="00B85EB2"/>
    <w:rsid w:val="00BA5490"/>
    <w:rsid w:val="00BB1A20"/>
    <w:rsid w:val="00BC30F3"/>
    <w:rsid w:val="00BC3E3C"/>
    <w:rsid w:val="00BC4480"/>
    <w:rsid w:val="00BC6D7D"/>
    <w:rsid w:val="00BD1CF1"/>
    <w:rsid w:val="00BD35DA"/>
    <w:rsid w:val="00C02A60"/>
    <w:rsid w:val="00C170A9"/>
    <w:rsid w:val="00C177C8"/>
    <w:rsid w:val="00C22308"/>
    <w:rsid w:val="00C266BD"/>
    <w:rsid w:val="00C636D7"/>
    <w:rsid w:val="00C638EB"/>
    <w:rsid w:val="00C76184"/>
    <w:rsid w:val="00C924E8"/>
    <w:rsid w:val="00C96362"/>
    <w:rsid w:val="00CD54C8"/>
    <w:rsid w:val="00CD68C7"/>
    <w:rsid w:val="00CD76A8"/>
    <w:rsid w:val="00CE1147"/>
    <w:rsid w:val="00D23522"/>
    <w:rsid w:val="00D36CC9"/>
    <w:rsid w:val="00D45E89"/>
    <w:rsid w:val="00D57F90"/>
    <w:rsid w:val="00D80296"/>
    <w:rsid w:val="00D81EE1"/>
    <w:rsid w:val="00D97EEB"/>
    <w:rsid w:val="00DA2C2E"/>
    <w:rsid w:val="00DA3462"/>
    <w:rsid w:val="00DA6FE0"/>
    <w:rsid w:val="00DB1B0D"/>
    <w:rsid w:val="00E21223"/>
    <w:rsid w:val="00E311E6"/>
    <w:rsid w:val="00E3720B"/>
    <w:rsid w:val="00E4701A"/>
    <w:rsid w:val="00E56231"/>
    <w:rsid w:val="00E8042B"/>
    <w:rsid w:val="00E8232E"/>
    <w:rsid w:val="00E91E3D"/>
    <w:rsid w:val="00EB7264"/>
    <w:rsid w:val="00EC2AB3"/>
    <w:rsid w:val="00EC6689"/>
    <w:rsid w:val="00EF1BCD"/>
    <w:rsid w:val="00F04E20"/>
    <w:rsid w:val="00F27DAC"/>
    <w:rsid w:val="00F35E44"/>
    <w:rsid w:val="00FE7DCB"/>
    <w:rsid w:val="01DB6581"/>
    <w:rsid w:val="023F51CD"/>
    <w:rsid w:val="02EB2A40"/>
    <w:rsid w:val="054BB174"/>
    <w:rsid w:val="0918847D"/>
    <w:rsid w:val="0978B358"/>
    <w:rsid w:val="09C4C2EC"/>
    <w:rsid w:val="09D23F1D"/>
    <w:rsid w:val="0B2D01E0"/>
    <w:rsid w:val="0D9AF0FA"/>
    <w:rsid w:val="13AE2617"/>
    <w:rsid w:val="18C2459D"/>
    <w:rsid w:val="1DE8816C"/>
    <w:rsid w:val="231729BA"/>
    <w:rsid w:val="26B7E299"/>
    <w:rsid w:val="282B153F"/>
    <w:rsid w:val="29652464"/>
    <w:rsid w:val="2A391842"/>
    <w:rsid w:val="2CA80DFE"/>
    <w:rsid w:val="2CC3CE5B"/>
    <w:rsid w:val="31CDE1A8"/>
    <w:rsid w:val="36E1F0D4"/>
    <w:rsid w:val="39094509"/>
    <w:rsid w:val="393B222F"/>
    <w:rsid w:val="3974C701"/>
    <w:rsid w:val="39DCCB16"/>
    <w:rsid w:val="3B528E61"/>
    <w:rsid w:val="405240E8"/>
    <w:rsid w:val="41A93FFB"/>
    <w:rsid w:val="4220CEAA"/>
    <w:rsid w:val="426978AC"/>
    <w:rsid w:val="43B2A417"/>
    <w:rsid w:val="4E8CD640"/>
    <w:rsid w:val="4F1A6C39"/>
    <w:rsid w:val="50B53AFC"/>
    <w:rsid w:val="53D15D13"/>
    <w:rsid w:val="53F18C90"/>
    <w:rsid w:val="54B1B03E"/>
    <w:rsid w:val="5548E02F"/>
    <w:rsid w:val="56DFB862"/>
    <w:rsid w:val="5710748A"/>
    <w:rsid w:val="58E1142C"/>
    <w:rsid w:val="5A98C204"/>
    <w:rsid w:val="5B33B8E3"/>
    <w:rsid w:val="5C62040D"/>
    <w:rsid w:val="5E9F48CA"/>
    <w:rsid w:val="604416C9"/>
    <w:rsid w:val="62D084A3"/>
    <w:rsid w:val="6705509B"/>
    <w:rsid w:val="6B9EEA1B"/>
    <w:rsid w:val="6FD9402C"/>
    <w:rsid w:val="702245FE"/>
    <w:rsid w:val="70D2055E"/>
    <w:rsid w:val="71ADB226"/>
    <w:rsid w:val="71B4FDCF"/>
    <w:rsid w:val="734C808B"/>
    <w:rsid w:val="75131789"/>
    <w:rsid w:val="7736FA23"/>
    <w:rsid w:val="77B6EE91"/>
    <w:rsid w:val="7A956958"/>
    <w:rsid w:val="7AB8B87D"/>
    <w:rsid w:val="7C926B02"/>
    <w:rsid w:val="7D6053B0"/>
    <w:rsid w:val="7EC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73E73"/>
  <w15:docId w15:val="{D08A75F4-E0EB-4B92-A96B-B98E2AA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table" w:styleId="TableGrid">
    <w:name w:val="Table Grid"/>
    <w:basedOn w:val="TableNormal"/>
    <w:uiPriority w:val="59"/>
    <w:rsid w:val="00CD5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1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951DA"/>
    <w:pPr>
      <w:spacing w:after="160" w:line="259" w:lineRule="auto"/>
      <w:ind w:left="720"/>
      <w:contextualSpacing/>
    </w:pPr>
    <w:rPr>
      <w:rFonts w:asciiTheme="minorHAnsi" w:hAnsiTheme="minorHAnsi" w:cstheme="minorBidi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6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362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62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>&lt;div&gt;&lt;/div&gt;</V3Comments>
    <_dlc_DocId xmlns="02b462e0-950b-4d18-8f56-efe6ec8fd98e">COMMUNITY-101306793-24811</_dlc_DocId>
    <_dlc_DocIdUrl xmlns="02b462e0-950b-4d18-8f56-efe6ec8fd98e">
      <Url>https://nedlands365.sharepoint.com/sites/community/communications/_layouts/15/DocIdRedir.aspx?ID=COMMUNITY-101306793-24811</Url>
      <Description>COMMUNITY-101306793-24811</Description>
    </_dlc_DocIdUrl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Jim Duff</DisplayName>
        <AccountId>230</AccountId>
        <AccountType/>
      </UserInfo>
      <UserInfo>
        <DisplayName>James Cresswell</DisplayName>
        <AccountId>135</AccountId>
        <AccountType/>
      </UserInfo>
      <UserInfo>
        <DisplayName>Steve Crossman</DisplayName>
        <AccountId>136</AccountId>
        <AccountType/>
      </UserInfo>
      <UserInfo>
        <DisplayName>Corinne Graff</DisplayName>
        <AccountId>110</AccountId>
        <AccountType/>
      </UserInfo>
      <UserInfo>
        <DisplayName>Nicole Ceric</DisplayName>
        <AccountId>16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2FC50-6408-4C40-9398-88D1BAE1C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A4066-D664-465A-BE55-6570D0D72D3B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6b299da-efff-467e-8964-3a25906f9acc"/>
    <ds:schemaRef ds:uri="5A68698A-1DE2-4E19-AF04-F7798F96AAD7"/>
    <ds:schemaRef ds:uri="6bc39911-04a3-4d44-b26a-af4af9194884"/>
    <ds:schemaRef ds:uri="http://www.w3.org/XML/1998/namespace"/>
    <ds:schemaRef ds:uri="http://schemas.microsoft.com/office/2006/documentManagement/types"/>
    <ds:schemaRef ds:uri="http://purl.org/dc/elements/1.1/"/>
    <ds:schemaRef ds:uri="8a4bd8d6-86f1-4ba8-9f4e-7cee871089f7"/>
    <ds:schemaRef ds:uri="5a68698a-1de2-4e19-af04-f7798f96aad7"/>
    <ds:schemaRef ds:uri="6c08273c-a1a1-4ce8-8f63-c8a7ddb02d1f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BA05AE-0567-450F-9E9B-3CF8E9D34E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CF7474-FA3E-4BFD-90DA-7356814C8EA4}"/>
</file>

<file path=customXml/itemProps5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2593</Characters>
  <Application>Microsoft Office Word</Application>
  <DocSecurity>0</DocSecurity>
  <Lines>68</Lines>
  <Paragraphs>21</Paragraphs>
  <ScaleCrop>false</ScaleCrop>
  <Company>City of Nedlands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Management Council Policy</dc:title>
  <dc:subject/>
  <dc:creator>ekenworthy</dc:creator>
  <cp:keywords/>
  <dc:description/>
  <cp:lastModifiedBy>Nicole Ceric</cp:lastModifiedBy>
  <cp:revision>87</cp:revision>
  <cp:lastPrinted>2013-09-17T04:54:00Z</cp:lastPrinted>
  <dcterms:created xsi:type="dcterms:W3CDTF">2019-02-04T02:13:00Z</dcterms:created>
  <dcterms:modified xsi:type="dcterms:W3CDTF">2021-03-29T05:34:00Z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8f061afb-c996-45c7-aa99-ec53a0e370a9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32;#Technical Services|5ba6fede-30da-4c43-82b9-ce30e4dc92ea</vt:lpwstr>
  </property>
  <property fmtid="{D5CDD505-2E9C-101B-9397-08002B2CF9AE}" pid="7" name="Document Type">
    <vt:lpwstr>3;#Policy|29c59565-5fe0-46cf-a0e7-238ef69c766b</vt:lpwstr>
  </property>
  <property fmtid="{D5CDD505-2E9C-101B-9397-08002B2CF9AE}" pid="8" name="Function">
    <vt:lpwstr>22;#Community Relations|00c33994-667c-4fea-8cff-18d8a788bccc</vt:lpwstr>
  </property>
  <property fmtid="{D5CDD505-2E9C-101B-9397-08002B2CF9AE}" pid="9" name="Activity">
    <vt:lpwstr>40;#Marketing|ab9aa8f8-a547-449a-a50a-7f6d3aef1950</vt:lpwstr>
  </property>
  <property fmtid="{D5CDD505-2E9C-101B-9397-08002B2CF9AE}" pid="10" name="Subject Matter">
    <vt:lpwstr/>
  </property>
  <property fmtid="{D5CDD505-2E9C-101B-9397-08002B2CF9AE}" pid="11" name="eDMS Site">
    <vt:lpwstr>20;#Communications|d1017bbf-fba7-4bc6-ae83-6802ffc81c2c</vt:lpwstr>
  </property>
  <property fmtid="{D5CDD505-2E9C-101B-9397-08002B2CF9AE}" pid="12" name="document set status previous">
    <vt:lpwstr>Active</vt:lpwstr>
  </property>
  <property fmtid="{D5CDD505-2E9C-101B-9397-08002B2CF9AE}" pid="13" name="_docset_NoMedatataSyncRequired">
    <vt:lpwstr>False</vt:lpwstr>
  </property>
</Properties>
</file>